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0589" w:rsidRDefault="009D0589" w:rsidP="009D0589">
      <w:pPr>
        <w:pStyle w:val="Tablebody"/>
        <w:spacing w:before="120"/>
        <w:ind w:left="-1134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346710</wp:posOffset>
            </wp:positionV>
            <wp:extent cx="2218055" cy="2164080"/>
            <wp:effectExtent l="25400" t="0" r="0" b="0"/>
            <wp:wrapTight wrapText="bothSides">
              <wp:wrapPolygon edited="0">
                <wp:start x="-247" y="0"/>
                <wp:lineTo x="-247" y="21549"/>
                <wp:lineTo x="21520" y="21549"/>
                <wp:lineTo x="21520" y="0"/>
                <wp:lineTo x="-247" y="0"/>
              </wp:wrapPolygon>
            </wp:wrapTight>
            <wp:docPr id="2" name="" descr="MacOS:Users:jefffitton:Downloads:1aa71e4fe64928b08a4f4526befe55a8--alex-pardee-horro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S:Users:jefffitton:Downloads:1aa71e4fe64928b08a4f4526befe55a8--alex-pardee-horror-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English </w:t>
      </w:r>
      <w:proofErr w:type="gramStart"/>
      <w:r>
        <w:rPr>
          <w:b/>
          <w:sz w:val="28"/>
        </w:rPr>
        <w:t>11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</w:t>
      </w:r>
      <w:proofErr w:type="gramEnd"/>
      <w:r>
        <w:rPr>
          <w:b/>
          <w:sz w:val="28"/>
        </w:rPr>
        <w:t>:</w:t>
      </w:r>
      <w:r w:rsidR="00DF1F34" w:rsidRPr="00A97AC6">
        <w:rPr>
          <w:b/>
          <w:sz w:val="28"/>
        </w:rPr>
        <w:tab/>
      </w:r>
      <w:r w:rsidR="00DF1F34" w:rsidRPr="00A97AC6">
        <w:rPr>
          <w:b/>
          <w:sz w:val="28"/>
        </w:rPr>
        <w:tab/>
      </w:r>
    </w:p>
    <w:p w:rsidR="00DF1F34" w:rsidRPr="00A97AC6" w:rsidRDefault="009D0589" w:rsidP="009D0589">
      <w:pPr>
        <w:pStyle w:val="Tablebody"/>
        <w:spacing w:before="120"/>
        <w:ind w:left="-567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DF1F34" w:rsidRPr="00A97AC6">
        <w:rPr>
          <w:b/>
          <w:sz w:val="28"/>
          <w:u w:val="single"/>
        </w:rPr>
        <w:t>Monsters: Real and Imagined</w:t>
      </w:r>
    </w:p>
    <w:p w:rsidR="00DF1F34" w:rsidRDefault="00DF1F34" w:rsidP="00A97AC6">
      <w:pPr>
        <w:pStyle w:val="Tablebody"/>
        <w:spacing w:before="120"/>
        <w:ind w:left="-567"/>
        <w:rPr>
          <w:b/>
        </w:rPr>
      </w:pPr>
      <w:r>
        <w:rPr>
          <w:b/>
        </w:rPr>
        <w:t xml:space="preserve">Our unit has focussed on identifying monsters, debating plausibility and investigating which social fears they represent. As well, we’ve delved into why as a society we are fascinated by them. We have examined the following: </w:t>
      </w:r>
    </w:p>
    <w:p w:rsidR="00DF1F34" w:rsidRPr="00265385" w:rsidRDefault="00DF1F34" w:rsidP="00DF1F34">
      <w:pPr>
        <w:pStyle w:val="Tablebody"/>
        <w:spacing w:before="120"/>
        <w:ind w:left="-567"/>
        <w:rPr>
          <w:b/>
        </w:rPr>
      </w:pPr>
      <w:r w:rsidRPr="00265385">
        <w:rPr>
          <w:b/>
        </w:rPr>
        <w:t>Factual</w:t>
      </w:r>
      <w:r>
        <w:rPr>
          <w:b/>
        </w:rPr>
        <w:t xml:space="preserve">— (What) </w:t>
      </w:r>
      <w:proofErr w:type="gramStart"/>
      <w:r>
        <w:rPr>
          <w:b/>
        </w:rPr>
        <w:t xml:space="preserve">-  </w:t>
      </w:r>
      <w:r w:rsidRPr="004B71C6">
        <w:t>What</w:t>
      </w:r>
      <w:proofErr w:type="gramEnd"/>
      <w:r w:rsidRPr="004B71C6">
        <w:t xml:space="preserve"> types of monsters exist? What is the purpose of </w:t>
      </w:r>
      <w:r>
        <w:t xml:space="preserve">biological responses to </w:t>
      </w:r>
      <w:r w:rsidRPr="004B71C6">
        <w:t>fear?</w:t>
      </w:r>
      <w:r>
        <w:t xml:space="preserve"> What are responses to fear?</w:t>
      </w:r>
    </w:p>
    <w:p w:rsidR="00DF1F34" w:rsidRPr="00265385" w:rsidRDefault="00DF1F34" w:rsidP="00DF1F34">
      <w:pPr>
        <w:pStyle w:val="Tablebody"/>
        <w:ind w:left="-567"/>
        <w:rPr>
          <w:b/>
        </w:rPr>
      </w:pPr>
      <w:r w:rsidRPr="00265385">
        <w:rPr>
          <w:b/>
        </w:rPr>
        <w:t>Conceptual</w:t>
      </w:r>
      <w:r>
        <w:rPr>
          <w:b/>
        </w:rPr>
        <w:t xml:space="preserve">— (How or Why?) – </w:t>
      </w:r>
      <w:r w:rsidRPr="004B71C6">
        <w:t>Why do societies create monsters?</w:t>
      </w:r>
      <w:r>
        <w:t xml:space="preserve"> Why do people like horror films?</w:t>
      </w:r>
    </w:p>
    <w:p w:rsidR="00DF1F34" w:rsidRPr="00265385" w:rsidRDefault="00DF1F34" w:rsidP="00DF1F34">
      <w:pPr>
        <w:pStyle w:val="Tablebody"/>
        <w:ind w:left="-567"/>
        <w:rPr>
          <w:b/>
        </w:rPr>
      </w:pPr>
      <w:r w:rsidRPr="00265385">
        <w:rPr>
          <w:b/>
        </w:rPr>
        <w:t>Debatable</w:t>
      </w:r>
      <w:r>
        <w:rPr>
          <w:b/>
        </w:rPr>
        <w:t xml:space="preserve">— (Is, Should, Could, Does) – </w:t>
      </w:r>
      <w:r w:rsidRPr="004B71C6">
        <w:t>Monsters are necessary for society</w:t>
      </w:r>
      <w:r>
        <w:t>; People need monsters; the horror Genre is a necessary Genre for catharsis</w:t>
      </w:r>
    </w:p>
    <w:p w:rsidR="00DF1F34" w:rsidRDefault="00DF1F34" w:rsidP="00DF1F34">
      <w:pPr>
        <w:ind w:left="-567"/>
      </w:pPr>
    </w:p>
    <w:p w:rsidR="00A97AC6" w:rsidRDefault="00A97AC6" w:rsidP="009D0589"/>
    <w:p w:rsidR="00400807" w:rsidRDefault="00400807" w:rsidP="00A97AC6">
      <w:pPr>
        <w:ind w:left="-1134" w:right="-524"/>
      </w:pPr>
      <w:r w:rsidRPr="00A97AC6">
        <w:rPr>
          <w:b/>
        </w:rPr>
        <w:t>Your mission</w:t>
      </w:r>
      <w:r>
        <w:t xml:space="preserve">: Examine the GRASP below and formulate your authentic task (real-world product) as the final assessment piece for this unit. </w:t>
      </w:r>
    </w:p>
    <w:p w:rsidR="00DF1F34" w:rsidRDefault="00DF1F34" w:rsidP="00A97AC6">
      <w:pPr>
        <w:ind w:left="-1134" w:right="-524"/>
      </w:pPr>
    </w:p>
    <w:p w:rsidR="00DF1F34" w:rsidRDefault="00800525" w:rsidP="00A97AC6">
      <w:pPr>
        <w:ind w:left="-1134" w:right="-524"/>
      </w:pPr>
      <w:r>
        <w:rPr>
          <w:noProof/>
          <w:lang w:val="en-US"/>
        </w:rPr>
        <w:pict>
          <v:rect id="_x0000_s1026" style="position:absolute;left:0;text-align:left;margin-left:-1in;margin-top:3.65pt;width:575.25pt;height:143.25pt;z-index:-251657728;mso-wrap-edited:f;mso-position-horizontal:absolute;mso-position-vertical:absolute" wrapcoords="-93 -100 -124 200 -124 22300 21786 22300 21817 700 21755 0 21662 -100 -93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400807" w:rsidRDefault="00400807" w:rsidP="00A97AC6">
      <w:pPr>
        <w:pStyle w:val="Tablebody"/>
        <w:ind w:left="-1134" w:right="-524"/>
      </w:pPr>
      <w:r w:rsidRPr="00094A53">
        <w:rPr>
          <w:b/>
        </w:rPr>
        <w:t>Goal</w:t>
      </w:r>
      <w:r>
        <w:t>: Your goal is to demonstrate how Character and Genre impact perspective and social constructions of reality.</w:t>
      </w:r>
    </w:p>
    <w:p w:rsidR="00400807" w:rsidRDefault="00400807" w:rsidP="00A97AC6">
      <w:pPr>
        <w:pStyle w:val="Tablebody"/>
        <w:ind w:left="-1134" w:right="-524"/>
      </w:pPr>
      <w:r w:rsidRPr="00094A53">
        <w:rPr>
          <w:b/>
        </w:rPr>
        <w:t>Role</w:t>
      </w:r>
      <w:r>
        <w:t>: You are a psychologist who specializes in the concept of Monsters / Fear</w:t>
      </w:r>
    </w:p>
    <w:p w:rsidR="00400807" w:rsidRDefault="00400807" w:rsidP="00A97AC6">
      <w:pPr>
        <w:pStyle w:val="Tablebody"/>
        <w:ind w:left="-1134" w:right="-524"/>
      </w:pPr>
      <w:r w:rsidRPr="00094A53">
        <w:rPr>
          <w:b/>
        </w:rPr>
        <w:t>Audience</w:t>
      </w:r>
      <w:r>
        <w:t>: A film producer or a TV/Live/Podcast/Radio Audience</w:t>
      </w:r>
    </w:p>
    <w:p w:rsidR="00400807" w:rsidRDefault="00400807" w:rsidP="00A97AC6">
      <w:pPr>
        <w:pStyle w:val="Tablebody"/>
        <w:ind w:left="-1134" w:right="-524"/>
      </w:pPr>
      <w:r w:rsidRPr="00094A53">
        <w:rPr>
          <w:b/>
        </w:rPr>
        <w:t>Situation</w:t>
      </w:r>
      <w:r>
        <w:t xml:space="preserve">: You are a world famous psychologist hired by a film company to help them create a monster that represents/serves as a symbol/metaphor a societal fear or issue prevalent in society. </w:t>
      </w:r>
    </w:p>
    <w:p w:rsidR="009D0589" w:rsidRDefault="00400807" w:rsidP="00A97AC6">
      <w:pPr>
        <w:pStyle w:val="Tablebody"/>
        <w:ind w:left="-1134" w:right="-524"/>
      </w:pPr>
      <w:r w:rsidRPr="00094A53">
        <w:rPr>
          <w:b/>
        </w:rPr>
        <w:t>Product</w:t>
      </w:r>
      <w:r>
        <w:t>: You may create the monster using any medium you want; or you May create a theatrical trailer/short film/script/score/comic-storyboard to submit to the Producer or a focus group audience.</w:t>
      </w:r>
    </w:p>
    <w:p w:rsidR="00400807" w:rsidRPr="009D0589" w:rsidRDefault="009D0589" w:rsidP="00A97AC6">
      <w:pPr>
        <w:pStyle w:val="Tablebody"/>
        <w:ind w:left="-1134" w:right="-524"/>
      </w:pPr>
      <w:r>
        <w:rPr>
          <w:b/>
        </w:rPr>
        <w:t>Standards</w:t>
      </w:r>
      <w:r w:rsidRPr="009D0589">
        <w:t>:</w:t>
      </w:r>
      <w:r>
        <w:t xml:space="preserve"> Criterion C – Producing Text</w:t>
      </w:r>
      <w:r w:rsidR="00D53634">
        <w:t xml:space="preserve">; </w:t>
      </w:r>
      <w:r w:rsidR="00D53634" w:rsidRPr="00D53634">
        <w:rPr>
          <w:b/>
        </w:rPr>
        <w:t>OR</w:t>
      </w:r>
      <w:r w:rsidR="00D53634">
        <w:t xml:space="preserve"> Criterion A – Analysing Text</w:t>
      </w:r>
      <w:r>
        <w:t xml:space="preserve"> </w:t>
      </w:r>
    </w:p>
    <w:p w:rsidR="00400807" w:rsidRDefault="00400807" w:rsidP="00A97AC6">
      <w:pPr>
        <w:pStyle w:val="Tablebody"/>
        <w:ind w:left="-1134" w:right="-524"/>
      </w:pPr>
    </w:p>
    <w:p w:rsidR="009D0589" w:rsidRDefault="009D0589" w:rsidP="009D0589">
      <w:pPr>
        <w:ind w:left="1440" w:right="-524" w:firstLine="720"/>
      </w:pPr>
    </w:p>
    <w:p w:rsidR="00400807" w:rsidRPr="009D0589" w:rsidRDefault="00400807" w:rsidP="009D0589">
      <w:pPr>
        <w:ind w:left="1440" w:right="-524" w:firstLine="720"/>
        <w:rPr>
          <w:b/>
        </w:rPr>
      </w:pPr>
      <w:proofErr w:type="gramStart"/>
      <w:r w:rsidRPr="009D0589">
        <w:rPr>
          <w:b/>
        </w:rPr>
        <w:t>Differentiation for Learning Styles.</w:t>
      </w:r>
      <w:proofErr w:type="gramEnd"/>
    </w:p>
    <w:p w:rsidR="00400807" w:rsidRDefault="00400807" w:rsidP="00A97AC6">
      <w:pPr>
        <w:ind w:left="-1134" w:right="-524"/>
      </w:pPr>
    </w:p>
    <w:p w:rsidR="00400807" w:rsidRDefault="00400807" w:rsidP="00A97AC6">
      <w:pPr>
        <w:ind w:left="-1134" w:right="-524"/>
      </w:pPr>
      <w:r w:rsidRPr="009D0589">
        <w:rPr>
          <w:b/>
        </w:rPr>
        <w:t>Speaker</w:t>
      </w:r>
      <w:r>
        <w:t xml:space="preserve">: Set up a campfire and orally tell a few ghost stories to the class using powerful oratory techniques. Or do podcast/radio broadcast where people call in and tell ghost stories, or you tell them. </w:t>
      </w:r>
    </w:p>
    <w:p w:rsidR="00400807" w:rsidRDefault="00400807" w:rsidP="00A97AC6">
      <w:pPr>
        <w:ind w:left="-1134" w:right="-524"/>
      </w:pPr>
    </w:p>
    <w:p w:rsidR="00400807" w:rsidRDefault="00400807" w:rsidP="00A97AC6">
      <w:pPr>
        <w:ind w:left="-1134" w:right="-524"/>
      </w:pPr>
      <w:r w:rsidRPr="009D0589">
        <w:rPr>
          <w:b/>
        </w:rPr>
        <w:t>Writer</w:t>
      </w:r>
      <w:r>
        <w:t>: Write a story about a monster and provide an analysis of which fear it represents.</w:t>
      </w:r>
    </w:p>
    <w:p w:rsidR="00400807" w:rsidRDefault="00400807" w:rsidP="00A97AC6">
      <w:pPr>
        <w:ind w:left="-1134" w:right="-524"/>
      </w:pPr>
    </w:p>
    <w:p w:rsidR="00400807" w:rsidRDefault="00400807" w:rsidP="00A97AC6">
      <w:pPr>
        <w:ind w:left="-1134" w:right="-524"/>
      </w:pPr>
      <w:r w:rsidRPr="009D0589">
        <w:rPr>
          <w:b/>
        </w:rPr>
        <w:t>Creator</w:t>
      </w:r>
      <w:r>
        <w:t>: Make a film, poem, or art piece that involves monsters; analyze your work.</w:t>
      </w:r>
      <w:r w:rsidR="005F7DE0">
        <w:t xml:space="preserve"> Create an official “A&amp;E Mini Biography” of a Monster (Real, Mythological, Hollywood, From Another Culture).</w:t>
      </w:r>
    </w:p>
    <w:p w:rsidR="00400807" w:rsidRDefault="00400807" w:rsidP="00A97AC6">
      <w:pPr>
        <w:ind w:left="-1134" w:right="-524"/>
      </w:pPr>
    </w:p>
    <w:p w:rsidR="00DF1F34" w:rsidRDefault="005F7DE0" w:rsidP="00A97AC6">
      <w:pPr>
        <w:ind w:left="-1134" w:right="-524"/>
      </w:pPr>
      <w:r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248285</wp:posOffset>
            </wp:positionV>
            <wp:extent cx="2514600" cy="2007870"/>
            <wp:effectExtent l="25400" t="0" r="0" b="0"/>
            <wp:wrapTight wrapText="bothSides">
              <wp:wrapPolygon edited="0">
                <wp:start x="-218" y="0"/>
                <wp:lineTo x="-218" y="21313"/>
                <wp:lineTo x="21600" y="21313"/>
                <wp:lineTo x="21600" y="0"/>
                <wp:lineTo x="-218" y="0"/>
              </wp:wrapPolygon>
            </wp:wrapTight>
            <wp:docPr id="1" name="" descr="MacOS:Users:jefffitton:Downloads:f7a41396fa37263ae7c3499743742dbb--classic-horror-movies-best-horror-mo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jefffitton:Downloads:f7a41396fa37263ae7c3499743742dbb--classic-horror-movies-best-horror-movi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807" w:rsidRPr="009D0589">
        <w:rPr>
          <w:b/>
        </w:rPr>
        <w:t>Analyzer</w:t>
      </w:r>
      <w:r w:rsidR="00400807">
        <w:t xml:space="preserve">: Learn how to write a film critique and view a monster film, then write a critique; post it online. Could also be done as a </w:t>
      </w:r>
      <w:proofErr w:type="spellStart"/>
      <w:r w:rsidR="00400807">
        <w:t>youtube</w:t>
      </w:r>
      <w:proofErr w:type="spellEnd"/>
      <w:r w:rsidR="00400807">
        <w:t xml:space="preserve"> video. </w:t>
      </w:r>
      <w:r w:rsidR="00D53634">
        <w:t xml:space="preserve"> </w:t>
      </w:r>
      <w:r w:rsidR="00D53634" w:rsidRPr="00D53634">
        <w:rPr>
          <w:b/>
        </w:rPr>
        <w:t>(Criterion A Rubric)</w:t>
      </w:r>
    </w:p>
    <w:p w:rsidR="00DF1F34" w:rsidRDefault="00DF1F34" w:rsidP="00A97AC6">
      <w:pPr>
        <w:ind w:left="-1134" w:right="-524"/>
      </w:pPr>
    </w:p>
    <w:p w:rsidR="00DF1F34" w:rsidRDefault="00400807" w:rsidP="00A97AC6">
      <w:pPr>
        <w:ind w:left="-1134" w:right="-524"/>
      </w:pPr>
      <w:proofErr w:type="spellStart"/>
      <w:r w:rsidRPr="009D0589">
        <w:rPr>
          <w:b/>
        </w:rPr>
        <w:t>Kinesthetic</w:t>
      </w:r>
      <w:proofErr w:type="spellEnd"/>
      <w:r>
        <w:t>: Act out a famous horror scene; create your own; film it.</w:t>
      </w:r>
    </w:p>
    <w:p w:rsidR="00DF1F34" w:rsidRDefault="00DF1F34" w:rsidP="00A97AC6">
      <w:pPr>
        <w:ind w:left="-1134" w:right="-524"/>
      </w:pPr>
    </w:p>
    <w:p w:rsidR="00DF1F34" w:rsidRDefault="00DF1F34" w:rsidP="00A97AC6">
      <w:pPr>
        <w:ind w:left="-1134" w:right="-524"/>
      </w:pPr>
    </w:p>
    <w:p w:rsidR="00B7034E" w:rsidRPr="00B7034E" w:rsidRDefault="00DF1F34" w:rsidP="00B7034E">
      <w:pPr>
        <w:pStyle w:val="Tablebody"/>
        <w:ind w:left="-1134" w:right="-524"/>
      </w:pPr>
      <w:r>
        <w:t xml:space="preserve">The task of creating a video/storyboard/trailer/script relates to the statement of Inquiry that </w:t>
      </w:r>
      <w:r w:rsidR="009D0589">
        <w:t>“</w:t>
      </w:r>
      <w:r w:rsidRPr="004A3DFF">
        <w:rPr>
          <w:i/>
        </w:rPr>
        <w:t>Character and Genre impact perspective and social constructions of reality.</w:t>
      </w:r>
      <w:r w:rsidR="009D0589">
        <w:rPr>
          <w:i/>
        </w:rPr>
        <w:t>”</w:t>
      </w:r>
      <w:r>
        <w:rPr>
          <w:i/>
        </w:rPr>
        <w:t xml:space="preserve"> </w:t>
      </w:r>
      <w:r>
        <w:t xml:space="preserve">It does because students will be able to fully understand the horror genre and how characters in the Genre often represent societal fears or anxieties. </w:t>
      </w:r>
      <w:r w:rsidR="009D0589">
        <w:t>Students</w:t>
      </w:r>
      <w:r>
        <w:t xml:space="preserve"> will be so adept at identifying and a</w:t>
      </w:r>
      <w:r w:rsidR="009D0589">
        <w:t xml:space="preserve">nalyzing how Horror is created through </w:t>
      </w:r>
      <w:r>
        <w:t xml:space="preserve">atmosphere, lighting, sound, score, </w:t>
      </w:r>
      <w:r w:rsidR="009D0589">
        <w:t>suspense</w:t>
      </w:r>
      <w:r>
        <w:t xml:space="preserve"> and character</w:t>
      </w:r>
      <w:r w:rsidR="009D0589">
        <w:t>ization</w:t>
      </w:r>
      <w:r>
        <w:t xml:space="preserve"> that they </w:t>
      </w:r>
      <w:proofErr w:type="gramStart"/>
      <w:r>
        <w:t xml:space="preserve">will </w:t>
      </w:r>
      <w:r w:rsidR="009D0589">
        <w:t xml:space="preserve"> be</w:t>
      </w:r>
      <w:proofErr w:type="gramEnd"/>
      <w:r w:rsidR="009D0589">
        <w:t xml:space="preserve"> able to </w:t>
      </w:r>
      <w:r>
        <w:t xml:space="preserve">proficiently create their own horror. </w:t>
      </w:r>
    </w:p>
    <w:p w:rsidR="00B7034E" w:rsidRDefault="00B7034E" w:rsidP="00B7034E">
      <w:pPr>
        <w:rPr>
          <w:rFonts w:ascii="Garamond" w:hAnsi="Garamond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829" w:tblpY="690"/>
        <w:tblW w:w="10799" w:type="dxa"/>
        <w:tblLook w:val="04A0"/>
      </w:tblPr>
      <w:tblGrid>
        <w:gridCol w:w="908"/>
        <w:gridCol w:w="6156"/>
        <w:gridCol w:w="3735"/>
      </w:tblGrid>
      <w:tr w:rsidR="00B7034E">
        <w:trPr>
          <w:trHeight w:val="337"/>
        </w:trPr>
        <w:tc>
          <w:tcPr>
            <w:tcW w:w="908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156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735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B7034E">
        <w:trPr>
          <w:trHeight w:val="1027"/>
        </w:trPr>
        <w:tc>
          <w:tcPr>
            <w:tcW w:w="908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156" w:type="dxa"/>
          </w:tcPr>
          <w:p w:rsidR="00B7034E" w:rsidRPr="00B7034E" w:rsidRDefault="00B7034E" w:rsidP="00B7034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Cs w:val="20"/>
              </w:rPr>
            </w:pPr>
            <w:r w:rsidRPr="00B7034E">
              <w:rPr>
                <w:rFonts w:ascii="Garamond" w:hAnsi="Garamond" w:cs="Helvetica Neue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735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B7034E">
        <w:trPr>
          <w:trHeight w:val="2559"/>
        </w:trPr>
        <w:tc>
          <w:tcPr>
            <w:tcW w:w="908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156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 produces texts that: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demonstrate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limited personal engagement with the creative process; demonstrates a limited degree of insight, imagination or sensitivity and minimal exploration of and critical reflection on new perspectives and ideas,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makes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minimal stylistic choices in terms of linguistic, literary and visual devices, demonstrating limited awareness of impact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selects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few relevant details and examples to develop ideas.</w:t>
            </w:r>
          </w:p>
        </w:tc>
        <w:tc>
          <w:tcPr>
            <w:tcW w:w="3735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2542"/>
        </w:trPr>
        <w:tc>
          <w:tcPr>
            <w:tcW w:w="908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156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The student produces texts that: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demonstrate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adequate personal engagement with the creative process; demonstrates some insight, imagination or sensitivity and some exploration of and critical reflection on new perspectives and ideas,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makes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some stylistic choices in terms of linguistic, literary and visual devices, demonstrating adequate awareness of impact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selects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some relevant details and examples to develop ideas.</w:t>
            </w:r>
          </w:p>
        </w:tc>
        <w:tc>
          <w:tcPr>
            <w:tcW w:w="3735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2828"/>
        </w:trPr>
        <w:tc>
          <w:tcPr>
            <w:tcW w:w="908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156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 produces texts that: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demonstrate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considerable personal engagement with the creative process; demonstrates considerable insight, imagination or sensitivity and substantial exploration of and critical reflection on new perspectives and ideas,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makes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thoughtful stylistic choices in terms of linguistic, literary and visual devices, demonstrating good awareness of impact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selects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sufficient relevant details and examples to develop ideas.</w:t>
            </w:r>
          </w:p>
        </w:tc>
        <w:tc>
          <w:tcPr>
            <w:tcW w:w="3735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2828"/>
        </w:trPr>
        <w:tc>
          <w:tcPr>
            <w:tcW w:w="908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156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 produces texts that: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demonstrate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 high degree of personal engagement with the creative process; demonstrates a high degree of insight, imagination or sensitivity and perceptive exploration of and critical reflection on new perspectives and ideas,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makes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perceptive stylistic choices in terms of linguistic, literary and visual devices, demonstrating good awareness of impact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selects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extensive relevant details and examples to develop ideas with precision.</w:t>
            </w:r>
          </w:p>
        </w:tc>
        <w:tc>
          <w:tcPr>
            <w:tcW w:w="3735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B7034E" w:rsidRDefault="00B7034E" w:rsidP="00B7034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p w:rsidR="00B7034E" w:rsidRDefault="00B7034E" w:rsidP="00B7034E">
      <w:pPr>
        <w:rPr>
          <w:rFonts w:ascii="Garamond" w:hAnsi="Garamond"/>
          <w:b/>
          <w:sz w:val="36"/>
          <w:szCs w:val="36"/>
        </w:rPr>
      </w:pPr>
    </w:p>
    <w:p w:rsidR="00B7034E" w:rsidRDefault="00B7034E" w:rsidP="00B7034E">
      <w:pPr>
        <w:rPr>
          <w:rFonts w:ascii="Garamond" w:hAnsi="Garamond"/>
          <w:b/>
          <w:sz w:val="36"/>
          <w:szCs w:val="36"/>
        </w:rPr>
      </w:pPr>
    </w:p>
    <w:p w:rsidR="00B7034E" w:rsidRDefault="00B7034E" w:rsidP="00B7034E">
      <w:pPr>
        <w:rPr>
          <w:rFonts w:ascii="Garamond" w:hAnsi="Garamond"/>
          <w:b/>
          <w:sz w:val="36"/>
          <w:szCs w:val="36"/>
        </w:rPr>
      </w:pPr>
    </w:p>
    <w:p w:rsidR="00B7034E" w:rsidRDefault="00B7034E" w:rsidP="00B7034E">
      <w:pPr>
        <w:rPr>
          <w:rFonts w:ascii="Garamond" w:hAnsi="Garamond"/>
          <w:b/>
          <w:sz w:val="36"/>
          <w:szCs w:val="36"/>
          <w:highlight w:val="yellow"/>
        </w:rPr>
      </w:pPr>
    </w:p>
    <w:p w:rsidR="00B7034E" w:rsidRDefault="00B7034E" w:rsidP="00B7034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</w:p>
    <w:tbl>
      <w:tblPr>
        <w:tblStyle w:val="TableGrid"/>
        <w:tblW w:w="10692" w:type="dxa"/>
        <w:tblInd w:w="-864" w:type="dxa"/>
        <w:tblLook w:val="04A0"/>
      </w:tblPr>
      <w:tblGrid>
        <w:gridCol w:w="899"/>
        <w:gridCol w:w="6095"/>
        <w:gridCol w:w="3698"/>
      </w:tblGrid>
      <w:tr w:rsidR="00B7034E">
        <w:trPr>
          <w:trHeight w:val="298"/>
        </w:trPr>
        <w:tc>
          <w:tcPr>
            <w:tcW w:w="899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095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698" w:type="dxa"/>
          </w:tcPr>
          <w:p w:rsidR="00B7034E" w:rsidRPr="005301E1" w:rsidRDefault="00B7034E" w:rsidP="00B7034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B7034E">
        <w:trPr>
          <w:trHeight w:val="908"/>
        </w:trPr>
        <w:tc>
          <w:tcPr>
            <w:tcW w:w="899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B7034E" w:rsidRPr="00B7034E" w:rsidRDefault="00B7034E" w:rsidP="00B7034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Cs w:val="20"/>
              </w:rPr>
            </w:pPr>
            <w:r w:rsidRPr="00B7034E">
              <w:rPr>
                <w:rFonts w:ascii="Garamond" w:hAnsi="Garamond" w:cs="Helvetica Neue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98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B7034E">
        <w:trPr>
          <w:trHeight w:val="2756"/>
        </w:trPr>
        <w:tc>
          <w:tcPr>
            <w:tcW w:w="899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095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provides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limited analysis of the content, context, language, structure, technique and style of text(s) and the relationship among texts,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provides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limited analysis of the effects of the creator’s choices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rarely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justifies opinions and ideas with examples or explanations; uses little or no terminology,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evaluates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few similarities and differences by making minimal connections in features across and within genres and texts.</w:t>
            </w:r>
          </w:p>
        </w:tc>
        <w:tc>
          <w:tcPr>
            <w:tcW w:w="3698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3024"/>
        </w:trPr>
        <w:tc>
          <w:tcPr>
            <w:tcW w:w="899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095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provides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adequate analysis of the content, context, language, structure, technique and style of text(s) and the relationship among texts,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provides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adequate analysis of the effects of the creator’s choices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justifies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opinions and ideas with some examples and explanations, though this may not be consistent; uses some terminology,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evaluates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some similarities and differences by making adequate connections in features across and within genres and texts.</w:t>
            </w:r>
          </w:p>
        </w:tc>
        <w:tc>
          <w:tcPr>
            <w:tcW w:w="3698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2517"/>
        </w:trPr>
        <w:tc>
          <w:tcPr>
            <w:tcW w:w="899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095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competently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analyses the content, context, language, structure, technique, style of text(s) and the relationship among texts,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competently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analyses the effects of the creator’s choices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sufficiently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justifies opinions and ideas with examples and explanations; uses accurate terminology,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evaluates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similarities and differences by making substantial connections in features across and within genres and texts.</w:t>
            </w:r>
          </w:p>
        </w:tc>
        <w:tc>
          <w:tcPr>
            <w:tcW w:w="3698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7034E">
        <w:trPr>
          <w:trHeight w:val="2756"/>
        </w:trPr>
        <w:tc>
          <w:tcPr>
            <w:tcW w:w="899" w:type="dxa"/>
          </w:tcPr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7034E" w:rsidRPr="005301E1" w:rsidRDefault="00B7034E" w:rsidP="00B7034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095" w:type="dxa"/>
          </w:tcPr>
          <w:p w:rsidR="00B7034E" w:rsidRPr="00B7034E" w:rsidRDefault="00B7034E" w:rsidP="00B7034E">
            <w:pPr>
              <w:rPr>
                <w:rFonts w:ascii="Garamond" w:hAnsi="Garamond" w:cs="Helvetica Neue"/>
                <w:color w:val="46515A"/>
                <w:szCs w:val="20"/>
              </w:rPr>
            </w:pPr>
            <w:r w:rsidRPr="00B7034E">
              <w:rPr>
                <w:rFonts w:ascii="Garamond" w:hAnsi="Garamond" w:cs="Helvetica Neue"/>
                <w:color w:val="46515A"/>
                <w:szCs w:val="20"/>
              </w:rPr>
              <w:t>The student: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provides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perceptive analysis of the content, context, language, structure, technique, style of text(s) and the relationship among texts,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perceptively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analyses the effects of the creator’s choices on an audience,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gives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detailed justification of opinions and ideas with a range of examples, and thorough explanations; uses accurate terminology, </w:t>
            </w:r>
          </w:p>
          <w:p w:rsidR="00B7034E" w:rsidRPr="00B7034E" w:rsidRDefault="00B7034E" w:rsidP="00B7034E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Cs w:val="20"/>
              </w:rPr>
            </w:pPr>
            <w:proofErr w:type="gramStart"/>
            <w:r w:rsidRPr="00B7034E">
              <w:rPr>
                <w:rFonts w:ascii="Garamond" w:hAnsi="Garamond" w:cs="Helvetica Neue"/>
                <w:color w:val="46515A"/>
                <w:szCs w:val="20"/>
              </w:rPr>
              <w:t>perceptively</w:t>
            </w:r>
            <w:proofErr w:type="gramEnd"/>
            <w:r w:rsidRPr="00B7034E">
              <w:rPr>
                <w:rFonts w:ascii="Garamond" w:hAnsi="Garamond" w:cs="Helvetica Neue"/>
                <w:color w:val="46515A"/>
                <w:szCs w:val="20"/>
              </w:rPr>
              <w:t xml:space="preserve"> compares and contrasts by making extensive connections in features across and within genres and texts.</w:t>
            </w:r>
          </w:p>
        </w:tc>
        <w:tc>
          <w:tcPr>
            <w:tcW w:w="3698" w:type="dxa"/>
          </w:tcPr>
          <w:p w:rsidR="00B7034E" w:rsidRDefault="00B7034E" w:rsidP="00B7034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B7034E" w:rsidRDefault="00B7034E" w:rsidP="00B7034E">
      <w:pPr>
        <w:rPr>
          <w:rFonts w:ascii="Garamond" w:hAnsi="Garamond"/>
          <w:b/>
          <w:sz w:val="36"/>
          <w:szCs w:val="36"/>
        </w:rPr>
      </w:pPr>
    </w:p>
    <w:p w:rsidR="00A97AC6" w:rsidRDefault="00A97AC6">
      <w:pPr>
        <w:rPr>
          <w:rFonts w:asciiTheme="minorHAnsi" w:eastAsiaTheme="minorHAnsi" w:hAnsiTheme="minorHAnsi" w:cstheme="minorBidi"/>
        </w:rPr>
      </w:pPr>
    </w:p>
    <w:sectPr w:rsidR="00A97AC6" w:rsidSect="00A97AC6">
      <w:pgSz w:w="12240" w:h="15840"/>
      <w:pgMar w:top="426" w:right="1183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61C66"/>
    <w:multiLevelType w:val="hybridMultilevel"/>
    <w:tmpl w:val="43709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130"/>
    <w:multiLevelType w:val="hybridMultilevel"/>
    <w:tmpl w:val="69F2F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D0C43"/>
    <w:multiLevelType w:val="hybridMultilevel"/>
    <w:tmpl w:val="25F22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C2DA6"/>
    <w:multiLevelType w:val="hybridMultilevel"/>
    <w:tmpl w:val="0EC4F1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7DAB"/>
    <w:multiLevelType w:val="hybridMultilevel"/>
    <w:tmpl w:val="A778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4D2D"/>
    <w:multiLevelType w:val="hybridMultilevel"/>
    <w:tmpl w:val="EF20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F677A"/>
    <w:multiLevelType w:val="hybridMultilevel"/>
    <w:tmpl w:val="FD3EC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90ABF"/>
    <w:multiLevelType w:val="hybridMultilevel"/>
    <w:tmpl w:val="C6EA7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7D6DE4"/>
    <w:multiLevelType w:val="hybridMultilevel"/>
    <w:tmpl w:val="246ED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471CE1"/>
    <w:multiLevelType w:val="hybridMultilevel"/>
    <w:tmpl w:val="15AE1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E52B3"/>
    <w:multiLevelType w:val="hybridMultilevel"/>
    <w:tmpl w:val="B416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605AD"/>
    <w:multiLevelType w:val="hybridMultilevel"/>
    <w:tmpl w:val="EEAA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16701"/>
    <w:multiLevelType w:val="hybridMultilevel"/>
    <w:tmpl w:val="97F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C508C"/>
    <w:multiLevelType w:val="hybridMultilevel"/>
    <w:tmpl w:val="A6BE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7784B"/>
    <w:multiLevelType w:val="hybridMultilevel"/>
    <w:tmpl w:val="363C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64AAB"/>
    <w:multiLevelType w:val="hybridMultilevel"/>
    <w:tmpl w:val="A9163B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A117D"/>
    <w:multiLevelType w:val="hybridMultilevel"/>
    <w:tmpl w:val="44083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42641"/>
    <w:multiLevelType w:val="hybridMultilevel"/>
    <w:tmpl w:val="AFB4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6D7358"/>
    <w:multiLevelType w:val="hybridMultilevel"/>
    <w:tmpl w:val="B3B49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96226E"/>
    <w:multiLevelType w:val="hybridMultilevel"/>
    <w:tmpl w:val="3FA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E8027F"/>
    <w:multiLevelType w:val="hybridMultilevel"/>
    <w:tmpl w:val="DDA2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0A0352"/>
    <w:multiLevelType w:val="hybridMultilevel"/>
    <w:tmpl w:val="FA740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9259C"/>
    <w:multiLevelType w:val="hybridMultilevel"/>
    <w:tmpl w:val="F502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86534"/>
    <w:multiLevelType w:val="hybridMultilevel"/>
    <w:tmpl w:val="893E7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1D798A"/>
    <w:multiLevelType w:val="hybridMultilevel"/>
    <w:tmpl w:val="1040D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FB24D8"/>
    <w:multiLevelType w:val="hybridMultilevel"/>
    <w:tmpl w:val="73C2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F7EBE"/>
    <w:multiLevelType w:val="hybridMultilevel"/>
    <w:tmpl w:val="09EE55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28"/>
  </w:num>
  <w:num w:numId="4">
    <w:abstractNumId w:val="7"/>
  </w:num>
  <w:num w:numId="5">
    <w:abstractNumId w:val="0"/>
  </w:num>
  <w:num w:numId="6">
    <w:abstractNumId w:val="31"/>
  </w:num>
  <w:num w:numId="7">
    <w:abstractNumId w:val="1"/>
  </w:num>
  <w:num w:numId="8">
    <w:abstractNumId w:val="23"/>
  </w:num>
  <w:num w:numId="9">
    <w:abstractNumId w:val="2"/>
  </w:num>
  <w:num w:numId="10">
    <w:abstractNumId w:val="26"/>
  </w:num>
  <w:num w:numId="11">
    <w:abstractNumId w:val="11"/>
  </w:num>
  <w:num w:numId="12">
    <w:abstractNumId w:val="44"/>
  </w:num>
  <w:num w:numId="13">
    <w:abstractNumId w:val="36"/>
  </w:num>
  <w:num w:numId="14">
    <w:abstractNumId w:val="15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29"/>
  </w:num>
  <w:num w:numId="20">
    <w:abstractNumId w:val="35"/>
  </w:num>
  <w:num w:numId="21">
    <w:abstractNumId w:val="8"/>
  </w:num>
  <w:num w:numId="22">
    <w:abstractNumId w:val="27"/>
  </w:num>
  <w:num w:numId="23">
    <w:abstractNumId w:val="37"/>
  </w:num>
  <w:num w:numId="24">
    <w:abstractNumId w:val="40"/>
  </w:num>
  <w:num w:numId="25">
    <w:abstractNumId w:val="16"/>
  </w:num>
  <w:num w:numId="26">
    <w:abstractNumId w:val="6"/>
  </w:num>
  <w:num w:numId="27">
    <w:abstractNumId w:val="3"/>
  </w:num>
  <w:num w:numId="28">
    <w:abstractNumId w:val="17"/>
  </w:num>
  <w:num w:numId="29">
    <w:abstractNumId w:val="20"/>
  </w:num>
  <w:num w:numId="30">
    <w:abstractNumId w:val="38"/>
  </w:num>
  <w:num w:numId="31">
    <w:abstractNumId w:val="34"/>
  </w:num>
  <w:num w:numId="32">
    <w:abstractNumId w:val="39"/>
  </w:num>
  <w:num w:numId="33">
    <w:abstractNumId w:val="30"/>
  </w:num>
  <w:num w:numId="34">
    <w:abstractNumId w:val="43"/>
  </w:num>
  <w:num w:numId="35">
    <w:abstractNumId w:val="46"/>
  </w:num>
  <w:num w:numId="36">
    <w:abstractNumId w:val="4"/>
  </w:num>
  <w:num w:numId="37">
    <w:abstractNumId w:val="21"/>
  </w:num>
  <w:num w:numId="38">
    <w:abstractNumId w:val="19"/>
  </w:num>
  <w:num w:numId="39">
    <w:abstractNumId w:val="9"/>
  </w:num>
  <w:num w:numId="40">
    <w:abstractNumId w:val="42"/>
  </w:num>
  <w:num w:numId="41">
    <w:abstractNumId w:val="32"/>
  </w:num>
  <w:num w:numId="42">
    <w:abstractNumId w:val="41"/>
  </w:num>
  <w:num w:numId="43">
    <w:abstractNumId w:val="13"/>
  </w:num>
  <w:num w:numId="44">
    <w:abstractNumId w:val="12"/>
  </w:num>
  <w:num w:numId="45">
    <w:abstractNumId w:val="33"/>
  </w:num>
  <w:num w:numId="46">
    <w:abstractNumId w:val="2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F34"/>
    <w:rsid w:val="00400807"/>
    <w:rsid w:val="004A680F"/>
    <w:rsid w:val="005F7DE0"/>
    <w:rsid w:val="00800525"/>
    <w:rsid w:val="009D0589"/>
    <w:rsid w:val="00A97AC6"/>
    <w:rsid w:val="00B7034E"/>
    <w:rsid w:val="00D53634"/>
    <w:rsid w:val="00DF1F34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F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body">
    <w:name w:val="Table body"/>
    <w:basedOn w:val="Normal"/>
    <w:rsid w:val="00DF1F34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A6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4E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1012</Words>
  <Characters>5770</Characters>
  <Application>Microsoft Macintosh Word</Application>
  <DocSecurity>0</DocSecurity>
  <Lines>48</Lines>
  <Paragraphs>11</Paragraphs>
  <ScaleCrop>false</ScaleCrop>
  <Company>Penticton Secondary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7</cp:revision>
  <dcterms:created xsi:type="dcterms:W3CDTF">2018-05-22T03:21:00Z</dcterms:created>
  <dcterms:modified xsi:type="dcterms:W3CDTF">2018-05-22T04:30:00Z</dcterms:modified>
</cp:coreProperties>
</file>