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‘Erin Brockovich’ Assignment</w:t>
      </w:r>
    </w:p>
    <w:p w:rsidR="00000000" w:rsidDel="00000000" w:rsidP="00000000" w:rsidRDefault="00000000" w:rsidRPr="00000000" w14:paraId="00000002">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Class Action Lawsuits: a lawsuit initiated by a group of people over a complaint common to all</w:t>
      </w:r>
    </w:p>
    <w:p w:rsidR="00000000" w:rsidDel="00000000" w:rsidP="00000000" w:rsidRDefault="00000000" w:rsidRPr="00000000" w14:paraId="0000000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These ensure that average citizens with a common complaint to challenge large corporations or private individuals who can afford the best and most expensive legal services. Plaintiff’s lawyers will receive a percentage of the monetary award only if the case is successful. This helps prevent frivolous lawsuits. Cases also have to be “certified” before they can follow the typical civil lawsuit pathway. p438</w:t>
      </w:r>
    </w:p>
    <w:p w:rsidR="00000000" w:rsidDel="00000000" w:rsidP="00000000" w:rsidRDefault="00000000" w:rsidRPr="00000000" w14:paraId="0000000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6">
      <w:pPr>
        <w:jc w:val="cente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7">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Watch the movie or research a famous class action lawsuit.</w:t>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w:t>
        <w:tab/>
        <w:t xml:space="preserve">Describe the suit – reasons for it – arguments from the Plaintiff(s) and the Defendant.</w:t>
      </w:r>
    </w:p>
    <w:p w:rsidR="00000000" w:rsidDel="00000000" w:rsidP="00000000" w:rsidRDefault="00000000" w:rsidRPr="00000000" w14:paraId="0000000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w:t>
        <w:tab/>
        <w:t xml:space="preserve">What was the result?  (Remedy if there was one).  Do you agree with the result?</w:t>
      </w:r>
    </w:p>
    <w:p w:rsidR="00000000" w:rsidDel="00000000" w:rsidP="00000000" w:rsidRDefault="00000000" w:rsidRPr="00000000" w14:paraId="0000000B">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Answer the questions above on this sheet with some detail and be prepared to share your findings with a small group.</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t xml:space="preserve">Law 12: Tort Law - Class Action Lawsuits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